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Rule="auto"/>
        <w:rPr>
          <w:color w:val="000000"/>
          <w:sz w:val="22"/>
          <w:szCs w:val="22"/>
        </w:rPr>
      </w:pPr>
      <w:r w:rsidDel="00000000" w:rsidR="00000000" w:rsidRPr="00000000">
        <w:rPr>
          <w:color w:val="000000"/>
          <w:sz w:val="22"/>
          <w:szCs w:val="22"/>
          <w:rtl w:val="0"/>
        </w:rPr>
        <w:t xml:space="preserve">ROSAC0072ZPB</w:t>
      </w:r>
    </w:p>
    <w:p w:rsidR="00000000" w:rsidDel="00000000" w:rsidP="00000000" w:rsidRDefault="00000000" w:rsidRPr="00000000" w14:paraId="00000007">
      <w:pPr>
        <w:rPr>
          <w:i w:val="1"/>
          <w:iCs w:val="1"/>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spacing w:after="0" w:lineRule="auto"/>
        <w:rPr>
          <w:i w:val="1"/>
          <w:iCs w:val="1"/>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Dunele de nisip de la Hanul Conachi</w:t>
      </w:r>
      <w:r w:rsidDel="00000000" w:rsidR="00000000" w:rsidRPr="00000000">
        <w:rPr>
          <w:rtl w:val="0"/>
        </w:rPr>
      </w:r>
    </w:p>
    <w:p w:rsidR="00000000" w:rsidDel="00000000" w:rsidP="00000000" w:rsidRDefault="00000000" w:rsidRPr="00000000" w14:paraId="0000000B">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10">
      <w:pPr>
        <w:spacing w:after="0" w:lineRule="auto"/>
        <w:rPr/>
      </w:pPr>
      <w:r w:rsidDel="00000000" w:rsidR="00000000" w:rsidRPr="00000000">
        <w:rPr>
          <w:rtl w:val="0"/>
        </w:rPr>
      </w:r>
    </w:p>
    <w:tbl>
      <w:tblPr>
        <w:tblStyle w:val="Table1"/>
        <w:tblW w:w="8979.0" w:type="dxa"/>
        <w:jc w:val="left"/>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3">
      <w:pPr>
        <w:rPr>
          <w:b w:val="1"/>
          <w:bCs w:val="1"/>
          <w:sz w:val="22"/>
          <w:szCs w:val="22"/>
        </w:rPr>
      </w:pPr>
      <w:r w:rsidDel="00000000" w:rsidR="00000000" w:rsidRPr="00000000">
        <w:rPr>
          <w:b w:val="1"/>
          <w:bCs w:val="1"/>
          <w:sz w:val="22"/>
          <w:szCs w:val="22"/>
          <w:rtl w:val="0"/>
        </w:rPr>
        <w:t xml:space="preserve">1.7. Datele indicării și desemnării ca ZPB</w:t>
      </w:r>
    </w:p>
    <w:p w:rsidR="00000000" w:rsidDel="00000000" w:rsidP="00000000" w:rsidRDefault="00000000" w:rsidRPr="00000000" w14:paraId="00000034">
      <w:pPr>
        <w:rPr/>
      </w:pPr>
      <w:r w:rsidDel="00000000" w:rsidR="00000000" w:rsidRPr="00000000">
        <w:rPr>
          <w:rtl w:val="0"/>
        </w:rPr>
      </w:r>
    </w:p>
    <w:tbl>
      <w:tblPr>
        <w:tblStyle w:val="Table4"/>
        <w:tblW w:w="8979.0" w:type="dxa"/>
        <w:jc w:val="left"/>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35">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2">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tc>
      </w:tr>
    </w:tbl>
    <w:p w:rsidR="00000000" w:rsidDel="00000000" w:rsidP="00000000" w:rsidRDefault="00000000" w:rsidRPr="00000000" w14:paraId="00000044">
      <w:pPr>
        <w:rPr>
          <w:sz w:val="22"/>
          <w:szCs w:val="22"/>
        </w:rPr>
      </w:pPr>
      <w:r w:rsidDel="00000000" w:rsidR="00000000" w:rsidRPr="00000000">
        <w:rPr>
          <w:rtl w:val="0"/>
        </w:rPr>
      </w:r>
    </w:p>
    <w:p w:rsidR="00000000" w:rsidDel="00000000" w:rsidP="00000000" w:rsidRDefault="00000000" w:rsidRPr="00000000" w14:paraId="00000045">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A">
      <w:pPr>
        <w:jc w:val="cente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235,07</w:t>
      </w:r>
      <w:r w:rsidDel="00000000" w:rsidR="00000000" w:rsidRPr="00000000">
        <w:rPr>
          <w:rtl w:val="0"/>
        </w:rPr>
      </w:r>
    </w:p>
    <w:p w:rsidR="00000000" w:rsidDel="00000000" w:rsidP="00000000" w:rsidRDefault="00000000" w:rsidRPr="00000000" w14:paraId="0000004D">
      <w:pPr>
        <w:rPr>
          <w:b w:val="1"/>
          <w:bCs w:val="1"/>
          <w:sz w:val="22"/>
          <w:szCs w:val="22"/>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F">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94,32%</w:t>
      </w:r>
      <w:r w:rsidDel="00000000" w:rsidR="00000000" w:rsidRPr="00000000">
        <w:rPr>
          <w:rtl w:val="0"/>
        </w:rPr>
      </w:r>
    </w:p>
    <w:p w:rsidR="00000000" w:rsidDel="00000000" w:rsidP="00000000" w:rsidRDefault="00000000" w:rsidRPr="00000000" w14:paraId="00000050">
      <w:pPr>
        <w:rPr>
          <w:b w:val="1"/>
          <w:bCs w:val="1"/>
          <w:sz w:val="22"/>
          <w:szCs w:val="22"/>
        </w:rPr>
      </w:pPr>
      <w:r w:rsidDel="00000000" w:rsidR="00000000" w:rsidRPr="00000000">
        <w:rPr>
          <w:rtl w:val="0"/>
        </w:rPr>
      </w:r>
    </w:p>
    <w:p w:rsidR="00000000" w:rsidDel="00000000" w:rsidP="00000000" w:rsidRDefault="00000000" w:rsidRPr="00000000" w14:paraId="00000051">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52">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spacing w:after="0" w:lineRule="auto"/>
              <w:rPr>
                <w:sz w:val="22"/>
                <w:szCs w:val="22"/>
              </w:rPr>
            </w:pPr>
            <w:r w:rsidDel="00000000" w:rsidR="00000000" w:rsidRPr="00000000">
              <w:rPr>
                <w:sz w:val="22"/>
                <w:szCs w:val="22"/>
                <w:rtl w:val="0"/>
              </w:rPr>
              <w:t xml:space="preserve">RO22</w:t>
            </w:r>
          </w:p>
        </w:tc>
        <w:tc>
          <w:tcPr/>
          <w:p w:rsidR="00000000" w:rsidDel="00000000" w:rsidP="00000000" w:rsidRDefault="00000000" w:rsidRPr="00000000" w14:paraId="00000056">
            <w:pPr>
              <w:spacing w:after="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7">
            <w:pPr>
              <w:spacing w:after="0" w:lineRule="auto"/>
              <w:rPr>
                <w:sz w:val="22"/>
                <w:szCs w:val="22"/>
              </w:rPr>
            </w:pPr>
            <w:r w:rsidDel="00000000" w:rsidR="00000000" w:rsidRPr="00000000">
              <w:rPr>
                <w:sz w:val="22"/>
                <w:szCs w:val="22"/>
                <w:rtl w:val="0"/>
              </w:rPr>
              <w:t xml:space="preserve">Sud-Est</w:t>
            </w:r>
          </w:p>
        </w:tc>
      </w:tr>
    </w:tbl>
    <w:p w:rsidR="00000000" w:rsidDel="00000000" w:rsidP="00000000" w:rsidRDefault="00000000" w:rsidRPr="00000000" w14:paraId="00000058">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Galați</w:t>
      </w:r>
      <w:r w:rsidDel="00000000" w:rsidR="00000000" w:rsidRPr="00000000">
        <w:rPr>
          <w:rtl w:val="0"/>
        </w:rPr>
      </w:r>
    </w:p>
    <w:p w:rsidR="00000000" w:rsidDel="00000000" w:rsidP="00000000" w:rsidRDefault="00000000" w:rsidRPr="00000000" w14:paraId="0000005A">
      <w:pPr>
        <w:rPr>
          <w:b w:val="1"/>
          <w:bCs w:val="1"/>
          <w:sz w:val="22"/>
          <w:szCs w:val="22"/>
        </w:rPr>
      </w:pPr>
      <w:r w:rsidDel="00000000" w:rsidR="00000000" w:rsidRPr="00000000">
        <w:rPr>
          <w:rtl w:val="0"/>
        </w:rPr>
      </w:r>
    </w:p>
    <w:p w:rsidR="00000000" w:rsidDel="00000000" w:rsidP="00000000" w:rsidRDefault="00000000" w:rsidRPr="00000000" w14:paraId="0000005B">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1">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tl w:val="0"/>
              </w:rPr>
            </w:r>
          </w:p>
        </w:tc>
        <w:tc>
          <w:tcPr/>
          <w:p w:rsidR="00000000" w:rsidDel="00000000" w:rsidP="00000000" w:rsidRDefault="00000000" w:rsidRPr="00000000" w14:paraId="00000065">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B">
      <w:pPr>
        <w:rPr>
          <w:b w:val="1"/>
          <w:bCs w:val="1"/>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235,07</w:t>
      </w: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rezervația naturală RONPA0419 Dunele de nisip de la Hanul Conachi;</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949/2016 privind aprobarea Planului de management și a Regulamentului sitului Natura 2000 ROSPA0071 Lunca Siretului Inferior și al ariilor naturale protejate cu care se suprapune;</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w:t>
      </w:r>
      <w:r w:rsidDel="00000000" w:rsidR="00000000" w:rsidRPr="00000000">
        <w:rPr>
          <w:rtl w:val="0"/>
        </w:rPr>
        <w:t xml:space="preserve"> </w:t>
      </w: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8">
      <w:pPr>
        <w:spacing w:before="240" w:lineRule="auto"/>
        <w:rPr/>
      </w:pPr>
      <w:r w:rsidDel="00000000" w:rsidR="00000000" w:rsidRPr="00000000">
        <w:rPr>
          <w:sz w:val="22"/>
          <w:szCs w:val="22"/>
          <w:rtl w:val="0"/>
        </w:rPr>
        <w:t xml:space="preserve">Informația ecologică</w:t>
      </w:r>
      <w:r w:rsidDel="00000000" w:rsidR="00000000" w:rsidRPr="00000000">
        <w:rPr>
          <w:rtl w:val="0"/>
        </w:rPr>
      </w:r>
    </w:p>
    <w:tbl>
      <w:tblPr>
        <w:tblStyle w:val="Table8"/>
        <w:tblW w:w="8963.0" w:type="dxa"/>
        <w:jc w:val="left"/>
        <w:tblInd w:w="1.0" w:type="dxa"/>
        <w:tblLayout w:type="fixed"/>
        <w:tblLook w:val="0000"/>
      </w:tblPr>
      <w:tblGrid>
        <w:gridCol w:w="4499"/>
        <w:gridCol w:w="4464"/>
        <w:tblGridChange w:id="0">
          <w:tblGrid>
            <w:gridCol w:w="4499"/>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i w:val="1"/>
                <w:iCs w:val="1"/>
                <w:sz w:val="22"/>
                <w:szCs w:val="22"/>
              </w:rPr>
            </w:pPr>
            <w:r w:rsidDel="00000000" w:rsidR="00000000" w:rsidRPr="00000000">
              <w:rPr>
                <w:b w:val="1"/>
                <w:bCs w:val="1"/>
                <w:i w:val="1"/>
                <w:iCs w:val="1"/>
                <w:sz w:val="22"/>
                <w:szCs w:val="22"/>
                <w:rtl w:val="0"/>
              </w:rPr>
              <w:t xml:space="preserve">Habitate de pajiști naturale:</w:t>
            </w:r>
            <w:r w:rsidDel="00000000" w:rsidR="00000000" w:rsidRPr="00000000">
              <w:rPr>
                <w:i w:val="1"/>
                <w:iCs w:val="1"/>
                <w:sz w:val="22"/>
                <w:szCs w:val="22"/>
                <w:rtl w:val="0"/>
              </w:rPr>
              <w:t xml:space="preserve">                             6120* Pajişti xerice şi calcifile pe nisipuri</w:t>
            </w:r>
          </w:p>
          <w:p w:rsidR="00000000" w:rsidDel="00000000" w:rsidP="00000000" w:rsidRDefault="00000000" w:rsidRPr="00000000" w14:paraId="0000007D">
            <w:pPr>
              <w:spacing w:after="0" w:lineRule="auto"/>
              <w:rPr>
                <w:b w:val="1"/>
                <w:bCs w:val="1"/>
                <w:color w:val="ee0000"/>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i w:val="1"/>
                <w:iCs w:val="1"/>
                <w:sz w:val="22"/>
                <w:szCs w:val="22"/>
                <w:rtl w:val="0"/>
              </w:rPr>
              <w:t xml:space="preserve"> 91AA* Păduri est-europene de stejar pufos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i w:val="1"/>
                <w:iCs w:val="1"/>
                <w:sz w:val="22"/>
                <w:szCs w:val="22"/>
              </w:rPr>
            </w:pPr>
            <w:r w:rsidDel="00000000" w:rsidR="00000000" w:rsidRPr="00000000">
              <w:rPr>
                <w:b w:val="1"/>
                <w:bCs w:val="1"/>
                <w:sz w:val="22"/>
                <w:szCs w:val="22"/>
                <w:rtl w:val="0"/>
              </w:rPr>
              <w:t xml:space="preserve">Nevertebrate:</w:t>
            </w:r>
            <w:r w:rsidDel="00000000" w:rsidR="00000000" w:rsidRPr="00000000">
              <w:rPr>
                <w:i w:val="1"/>
                <w:iCs w:val="1"/>
                <w:sz w:val="22"/>
                <w:szCs w:val="22"/>
                <w:rtl w:val="0"/>
              </w:rPr>
              <w:t xml:space="preserve">                                              Anisoplia deserticale</w:t>
            </w:r>
            <w:r w:rsidDel="00000000" w:rsidR="00000000" w:rsidRPr="00000000">
              <w:rPr>
                <w:i w:val="1"/>
                <w:iCs w:val="1"/>
                <w:rtl w:val="0"/>
              </w:rPr>
              <w:br w:type="textWrapping"/>
            </w:r>
            <w:r w:rsidDel="00000000" w:rsidR="00000000" w:rsidRPr="00000000">
              <w:rPr>
                <w:i w:val="1"/>
                <w:iCs w:val="1"/>
                <w:sz w:val="22"/>
                <w:szCs w:val="22"/>
                <w:rtl w:val="0"/>
              </w:rPr>
              <w:t xml:space="preserve">Anomala dubia</w:t>
            </w:r>
            <w:r w:rsidDel="00000000" w:rsidR="00000000" w:rsidRPr="00000000">
              <w:rPr>
                <w:i w:val="1"/>
                <w:iCs w:val="1"/>
                <w:rtl w:val="0"/>
              </w:rPr>
              <w:br w:type="textWrapping"/>
            </w:r>
            <w:r w:rsidDel="00000000" w:rsidR="00000000" w:rsidRPr="00000000">
              <w:rPr>
                <w:i w:val="1"/>
                <w:iCs w:val="1"/>
                <w:sz w:val="22"/>
                <w:szCs w:val="22"/>
                <w:rtl w:val="0"/>
              </w:rPr>
              <w:t xml:space="preserve">1088 Cerambyx cerdo</w:t>
            </w:r>
            <w:r w:rsidDel="00000000" w:rsidR="00000000" w:rsidRPr="00000000">
              <w:rPr>
                <w:i w:val="1"/>
                <w:iCs w:val="1"/>
                <w:rtl w:val="0"/>
              </w:rPr>
              <w:br w:type="textWrapping"/>
            </w:r>
            <w:r w:rsidDel="00000000" w:rsidR="00000000" w:rsidRPr="00000000">
              <w:rPr>
                <w:i w:val="1"/>
                <w:iCs w:val="1"/>
                <w:sz w:val="22"/>
                <w:szCs w:val="22"/>
                <w:rtl w:val="0"/>
              </w:rPr>
              <w:t xml:space="preserve">Crypocephalus gamma                               Gnophosa spinosa                                     Micaria sosiabilis                                         </w:t>
            </w:r>
            <w:r w:rsidDel="00000000" w:rsidR="00000000" w:rsidRPr="00000000">
              <w:rPr>
                <w:b w:val="1"/>
                <w:bCs w:val="1"/>
                <w:sz w:val="22"/>
                <w:szCs w:val="22"/>
                <w:rtl w:val="0"/>
              </w:rPr>
              <w:t xml:space="preserve">Amfibieni și reptile:                                                      </w:t>
            </w:r>
            <w:r w:rsidDel="00000000" w:rsidR="00000000" w:rsidRPr="00000000">
              <w:rPr>
                <w:i w:val="1"/>
                <w:iCs w:val="1"/>
                <w:sz w:val="22"/>
                <w:szCs w:val="22"/>
                <w:rtl w:val="0"/>
              </w:rPr>
              <w:t xml:space="preserve">                            1220 Emys orbicularis                                  2390 Eremias arguta                                            </w:t>
            </w:r>
            <w:r w:rsidDel="00000000" w:rsidR="00000000" w:rsidRPr="00000000">
              <w:rPr>
                <w:i w:val="1"/>
                <w:iCs w:val="1"/>
                <w:rtl w:val="0"/>
              </w:rPr>
              <w:br w:type="textWrapping"/>
            </w:r>
            <w:r w:rsidDel="00000000" w:rsidR="00000000" w:rsidRPr="00000000">
              <w:rPr>
                <w:b w:val="1"/>
                <w:bCs w:val="1"/>
                <w:sz w:val="22"/>
                <w:szCs w:val="22"/>
                <w:rtl w:val="0"/>
              </w:rPr>
              <w:t xml:space="preserve">Plante:</w:t>
            </w:r>
            <w:r w:rsidDel="00000000" w:rsidR="00000000" w:rsidRPr="00000000">
              <w:rPr>
                <w:i w:val="1"/>
                <w:iCs w:val="1"/>
                <w:sz w:val="22"/>
                <w:szCs w:val="22"/>
                <w:rtl w:val="0"/>
              </w:rPr>
              <w:t xml:space="preserve">                                                    Corispermum nitidum</w:t>
            </w:r>
            <w:r w:rsidDel="00000000" w:rsidR="00000000" w:rsidRPr="00000000">
              <w:rPr>
                <w:i w:val="1"/>
                <w:iCs w:val="1"/>
                <w:rtl w:val="0"/>
              </w:rPr>
              <w:br w:type="textWrapping"/>
            </w:r>
            <w:r w:rsidDel="00000000" w:rsidR="00000000" w:rsidRPr="00000000">
              <w:rPr>
                <w:i w:val="1"/>
                <w:iCs w:val="1"/>
                <w:sz w:val="22"/>
                <w:szCs w:val="22"/>
                <w:rtl w:val="0"/>
              </w:rPr>
              <w:t xml:space="preserve">Festuca vaginata</w:t>
            </w:r>
            <w:r w:rsidDel="00000000" w:rsidR="00000000" w:rsidRPr="00000000">
              <w:rPr>
                <w:i w:val="1"/>
                <w:iCs w:val="1"/>
                <w:rtl w:val="0"/>
              </w:rPr>
              <w:br w:type="textWrapping"/>
            </w:r>
            <w:r w:rsidDel="00000000" w:rsidR="00000000" w:rsidRPr="00000000">
              <w:rPr>
                <w:i w:val="1"/>
                <w:iCs w:val="1"/>
                <w:sz w:val="22"/>
                <w:szCs w:val="22"/>
                <w:rtl w:val="0"/>
              </w:rPr>
              <w:t xml:space="preserve">Holoschoenus vulgaris</w:t>
            </w:r>
            <w:r w:rsidDel="00000000" w:rsidR="00000000" w:rsidRPr="00000000">
              <w:rPr>
                <w:i w:val="1"/>
                <w:iCs w:val="1"/>
                <w:rtl w:val="0"/>
              </w:rPr>
              <w:br w:type="textWrapping"/>
            </w:r>
            <w:r w:rsidDel="00000000" w:rsidR="00000000" w:rsidRPr="00000000">
              <w:rPr>
                <w:i w:val="1"/>
                <w:iCs w:val="1"/>
                <w:sz w:val="22"/>
                <w:szCs w:val="22"/>
                <w:rtl w:val="0"/>
              </w:rPr>
              <w:t xml:space="preserve">Nepeta ucrainica</w:t>
            </w:r>
            <w:r w:rsidDel="00000000" w:rsidR="00000000" w:rsidRPr="00000000">
              <w:rPr>
                <w:i w:val="1"/>
                <w:iCs w:val="1"/>
                <w:rtl w:val="0"/>
              </w:rPr>
              <w:br w:type="textWrapping"/>
            </w:r>
            <w:r w:rsidDel="00000000" w:rsidR="00000000" w:rsidRPr="00000000">
              <w:rPr>
                <w:i w:val="1"/>
                <w:iCs w:val="1"/>
                <w:sz w:val="22"/>
                <w:szCs w:val="22"/>
                <w:rtl w:val="0"/>
              </w:rPr>
              <w:t xml:space="preserve">Polygonium arenarium</w:t>
            </w:r>
            <w:r w:rsidDel="00000000" w:rsidR="00000000" w:rsidRPr="00000000">
              <w:rPr>
                <w:i w:val="1"/>
                <w:iCs w:val="1"/>
                <w:rtl w:val="0"/>
              </w:rPr>
              <w:br w:type="textWrapping"/>
            </w:r>
            <w:r w:rsidDel="00000000" w:rsidR="00000000" w:rsidRPr="00000000">
              <w:rPr>
                <w:i w:val="1"/>
                <w:iCs w:val="1"/>
                <w:sz w:val="22"/>
                <w:szCs w:val="22"/>
                <w:rtl w:val="0"/>
              </w:rPr>
              <w:t xml:space="preserve">Salix rosmarinifolia</w:t>
            </w:r>
            <w:r w:rsidDel="00000000" w:rsidR="00000000" w:rsidRPr="00000000">
              <w:rPr>
                <w:i w:val="1"/>
                <w:iCs w:val="1"/>
                <w:rtl w:val="0"/>
              </w:rPr>
              <w:br w:type="textWrapping"/>
            </w:r>
            <w:r w:rsidDel="00000000" w:rsidR="00000000" w:rsidRPr="00000000">
              <w:rPr>
                <w:i w:val="1"/>
                <w:iCs w:val="1"/>
                <w:sz w:val="22"/>
                <w:szCs w:val="22"/>
                <w:rtl w:val="0"/>
              </w:rPr>
              <w:t xml:space="preserve">Secale silvestre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2">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3">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84">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pPr>
            <w:r w:rsidDel="00000000" w:rsidR="00000000" w:rsidRPr="00000000">
              <w:rPr>
                <w:sz w:val="22"/>
                <w:szCs w:val="22"/>
                <w:rtl w:val="0"/>
              </w:rPr>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9">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A">
            <w:pPr>
              <w:spacing w:after="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B">
            <w:pPr>
              <w:spacing w:after="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8C">
            <w:pPr>
              <w:spacing w:after="0" w:lineRule="auto"/>
              <w:jc w:val="both"/>
              <w:rPr>
                <w:sz w:val="22"/>
                <w:szCs w:val="22"/>
              </w:rPr>
            </w:pPr>
            <w:r w:rsidDel="00000000" w:rsidR="00000000" w:rsidRPr="00000000">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p>
          <w:p w:rsidR="00000000" w:rsidDel="00000000" w:rsidP="00000000" w:rsidRDefault="00000000" w:rsidRPr="00000000" w14:paraId="0000008D">
            <w:pPr>
              <w:spacing w:after="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E">
            <w:pPr>
              <w:spacing w:after="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F">
            <w:pPr>
              <w:spacing w:after="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1">
            <w:pPr>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92">
            <w:pPr>
              <w:spacing w:after="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3">
            <w:pPr>
              <w:spacing w:after="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4">
            <w:pPr>
              <w:spacing w:after="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5">
            <w:pPr>
              <w:spacing w:after="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6">
            <w:pPr>
              <w:spacing w:after="0"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7">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r w:rsidDel="00000000" w:rsidR="00000000" w:rsidRPr="00000000">
              <w:rPr>
                <w:rtl w:val="0"/>
              </w:rPr>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w:t>
            </w: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r w:rsidDel="00000000" w:rsidR="00000000" w:rsidRPr="00000000">
              <w:rPr>
                <w:rtl w:val="0"/>
              </w:rPr>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r w:rsidDel="00000000" w:rsidR="00000000" w:rsidRPr="00000000">
              <w:rPr>
                <w:rtl w:val="0"/>
              </w:rPr>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r w:rsidDel="00000000" w:rsidR="00000000" w:rsidRPr="00000000">
              <w:rPr>
                <w:rtl w:val="0"/>
              </w:rPr>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r w:rsidDel="00000000" w:rsidR="00000000" w:rsidRPr="00000000">
              <w:rPr>
                <w:rtl w:val="0"/>
              </w:rPr>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r w:rsidDel="00000000" w:rsidR="00000000" w:rsidRPr="00000000">
              <w:rPr>
                <w:rtl w:val="0"/>
              </w:rPr>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r w:rsidDel="00000000" w:rsidR="00000000" w:rsidRPr="00000000">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r w:rsidDel="00000000" w:rsidR="00000000" w:rsidRPr="00000000">
              <w:rPr>
                <w:rtl w:val="0"/>
              </w:rPr>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r w:rsidDel="00000000" w:rsidR="00000000" w:rsidRPr="00000000">
              <w:rPr>
                <w:rtl w:val="0"/>
              </w:rPr>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r w:rsidDel="00000000" w:rsidR="00000000" w:rsidRPr="00000000">
              <w:rPr>
                <w:rtl w:val="0"/>
              </w:rPr>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r w:rsidDel="00000000" w:rsidR="00000000" w:rsidRPr="00000000">
              <w:rPr>
                <w:rtl w:val="0"/>
              </w:rPr>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r w:rsidDel="00000000" w:rsidR="00000000" w:rsidRPr="00000000">
              <w:rPr>
                <w:rtl w:val="0"/>
              </w:rPr>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Utilizarea fertilizanților chimici și a pesticidelor se realizează în conformitate cu legislația națională în domeniu. Aratul și supraînsămânțarea cu specii alohtone sunt interzise.</w:t>
            </w:r>
            <w:r w:rsidDel="00000000" w:rsidR="00000000" w:rsidRPr="00000000">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Este recomandată fertilizarea organică tradițională, în cantități moderate și compatibile cu menținerea diversității floristice și a structurii habitatului.</w:t>
            </w:r>
            <w:r w:rsidDel="00000000" w:rsidR="00000000" w:rsidRPr="00000000">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Târlitul se realizează controlat și cu schimbarea periodică a amplasamentelor, evitându-se apariția suprafețelor nitrofile și degradarea habitatului.</w:t>
            </w: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Vegetația lemnoasă invadantă se îndepărtează selectiv și periodic, menținându-se elementele cu rol ecologic, antierozional sau de refugiu pentru specii.</w:t>
            </w: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Speciile invazive se monitorizează și se controlează prin metode mecanice și măsuri cu impact redus asupra habitatelor naturale.</w:t>
            </w:r>
            <w:r w:rsidDel="00000000" w:rsidR="00000000" w:rsidRPr="00000000">
              <w:rPr>
                <w:rtl w:val="0"/>
              </w:rPr>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În zonele afectate de degradări locale ale microreliefului se pot aplica măsuri cu impact redus pentru corectarea acestora și refacerea covorului vegetal cu specii caracteristice habitatului.</w:t>
            </w:r>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mențin structurile de habitat favorabile biodiversității, inclusiv tufărișurile dispersate, arborii izolați, gardurile vii și zonele de ecoton.</w:t>
            </w: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Activitățile turistice și recreative se desfășoară fără afectarea habitatelor și a speciilor de interes conservativ.</w:t>
            </w:r>
            <w:r w:rsidDel="00000000" w:rsidR="00000000" w:rsidRPr="00000000">
              <w:rPr>
                <w:rtl w:val="0"/>
              </w:rPr>
            </w:r>
          </w:p>
          <w:p w:rsidR="00000000" w:rsidDel="00000000" w:rsidP="00000000" w:rsidRDefault="00000000" w:rsidRPr="00000000" w14:paraId="000000B3">
            <w:pPr>
              <w:spacing w:after="0" w:lineRule="auto"/>
              <w:jc w:val="both"/>
              <w:rPr>
                <w:color w:val="000000"/>
                <w:sz w:val="22"/>
                <w:szCs w:val="22"/>
              </w:rPr>
            </w:pPr>
            <w:r w:rsidDel="00000000" w:rsidR="00000000" w:rsidRPr="00000000">
              <w:rPr>
                <w:color w:val="000000"/>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B3">
            <w:pPr>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B6">
      <w:pPr>
        <w:spacing w:after="0" w:lineRule="auto"/>
        <w:rPr/>
      </w:pPr>
      <w:r w:rsidDel="00000000" w:rsidR="00000000" w:rsidRPr="00000000">
        <w:rPr>
          <w:rtl w:val="0"/>
        </w:rPr>
      </w:r>
    </w:p>
    <w:p w:rsidR="00000000" w:rsidDel="00000000" w:rsidP="00000000" w:rsidRDefault="00000000" w:rsidRPr="00000000" w14:paraId="000000B7">
      <w:pPr>
        <w:spacing w:after="0" w:lineRule="auto"/>
        <w:rPr/>
      </w:pPr>
      <w:r w:rsidDel="00000000" w:rsidR="00000000" w:rsidRPr="00000000">
        <w:rPr>
          <w:rtl w:val="0"/>
        </w:rPr>
      </w:r>
    </w:p>
    <w:p w:rsidR="00000000" w:rsidDel="00000000" w:rsidP="00000000" w:rsidRDefault="00000000" w:rsidRPr="00000000" w14:paraId="000000B8">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Mititelu D., colab., 1973, Vegetaţia rezervaţiei de nisipuri de la Hanu-Conachi (Jud. Galaţi), St. Com. Muz. Şt. Nat. Bacău: 359-376</w:t>
      </w:r>
    </w:p>
    <w:p w:rsidR="00000000" w:rsidDel="00000000" w:rsidP="00000000" w:rsidRDefault="00000000" w:rsidRPr="00000000" w14:paraId="000000BA">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Răvăruţ M., 1949, Contribuţiune la flora şi vegetaţia nisipurilor de la Matca – Iveşti - Hanul Conachi, Judeţul Tecuci, An. Acad. R.P.R., Secţ. Şt. Geol., Geogr., Biol., Ser. A, II, Mem. 29: 747-767 + o hartă</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F">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39zkd2filelm" w:id="0"/>
      <w:bookmarkEnd w:id="0"/>
      <w:r w:rsidDel="00000000" w:rsidR="00000000" w:rsidRPr="00000000">
        <w:rPr>
          <w:color w:val="000000"/>
          <w:sz w:val="22"/>
          <w:szCs w:val="22"/>
          <w:rtl w:val="0"/>
        </w:rPr>
        <w:t xml:space="preserve">Consultările publice au fost realizate la: 11 martie 2025 – Galați, jud, Galați, 19 mai 2025 – DS Galați.</w:t>
      </w:r>
    </w:p>
    <w:p w:rsidR="00000000" w:rsidDel="00000000" w:rsidP="00000000" w:rsidRDefault="00000000" w:rsidRPr="00000000" w14:paraId="000000C0">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 avut loc o consultare suplimentară online în data de</w:t>
      </w:r>
      <w:r w:rsidDel="00000000" w:rsidR="00000000" w:rsidRPr="00000000">
        <w:rPr>
          <w:color w:val="000000"/>
          <w:rtl w:val="0"/>
        </w:rPr>
        <w:t xml:space="preserve"> </w:t>
      </w:r>
      <w:r w:rsidDel="00000000" w:rsidR="00000000" w:rsidRPr="00000000">
        <w:rPr>
          <w:b w:val="1"/>
          <w:bCs w:val="1"/>
          <w:color w:val="000000"/>
          <w:sz w:val="22"/>
          <w:szCs w:val="22"/>
          <w:rtl w:val="0"/>
        </w:rPr>
        <w:t xml:space="preserve">08 decembrie 2025</w:t>
      </w:r>
      <w:r w:rsidDel="00000000" w:rsidR="00000000" w:rsidRPr="00000000">
        <w:rPr>
          <w:color w:val="000000"/>
          <w:sz w:val="22"/>
          <w:szCs w:val="22"/>
          <w:rtl w:val="0"/>
        </w:rPr>
        <w:t xml:space="preserve"> cu participarea factorilor interesați relevanți din județul Galați.</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C4">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5">
      <w:pPr>
        <w:rPr>
          <w:sz w:val="22"/>
          <w:szCs w:val="22"/>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C6">
      <w:pPr>
        <w:jc w:val="both"/>
        <w:rPr>
          <w:sz w:val="22"/>
          <w:szCs w:val="22"/>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DO+PbCjoMM2ySK3HBzJqUHUraw==">CgMxLjAyDmguMzl6a2QyZmlsZWxtOAByITFLS0FpQ3R6STZwYWx1WXRpNEJkTHJVNlhjU2hrallFOA==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